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15AD" w:rsidRDefault="007015AD" w:rsidP="002B66EC">
      <w:pPr>
        <w:jc w:val="center"/>
        <w:rPr>
          <w:b/>
        </w:rPr>
      </w:pPr>
      <w:bookmarkStart w:id="0" w:name="_GoBack"/>
      <w:bookmarkEnd w:id="0"/>
    </w:p>
    <w:p w:rsidR="007015AD" w:rsidRDefault="007015AD" w:rsidP="002B66EC">
      <w:pPr>
        <w:jc w:val="center"/>
        <w:rPr>
          <w:b/>
        </w:rPr>
      </w:pPr>
    </w:p>
    <w:p w:rsidR="007015AD" w:rsidRDefault="007015AD" w:rsidP="002B66EC">
      <w:pPr>
        <w:jc w:val="center"/>
        <w:rPr>
          <w:b/>
        </w:rPr>
      </w:pPr>
    </w:p>
    <w:p w:rsidR="002B66EC" w:rsidRPr="002B66EC" w:rsidRDefault="002B66EC" w:rsidP="002B66EC">
      <w:pPr>
        <w:jc w:val="center"/>
        <w:rPr>
          <w:b/>
        </w:rPr>
      </w:pPr>
      <w:r w:rsidRPr="002B66EC">
        <w:rPr>
          <w:b/>
        </w:rPr>
        <w:t>Conference on Management and Film:</w:t>
      </w:r>
    </w:p>
    <w:p w:rsidR="00F23896" w:rsidRPr="00B611B7" w:rsidRDefault="00792942" w:rsidP="002B66EC">
      <w:pPr>
        <w:jc w:val="center"/>
        <w:rPr>
          <w:b/>
          <w:sz w:val="32"/>
          <w:szCs w:val="32"/>
        </w:rPr>
      </w:pPr>
      <w:r w:rsidRPr="00B611B7">
        <w:rPr>
          <w:b/>
          <w:sz w:val="32"/>
          <w:szCs w:val="32"/>
        </w:rPr>
        <w:t xml:space="preserve">The </w:t>
      </w:r>
      <w:proofErr w:type="spellStart"/>
      <w:r w:rsidRPr="00B611B7">
        <w:rPr>
          <w:b/>
          <w:i/>
          <w:sz w:val="32"/>
          <w:szCs w:val="32"/>
        </w:rPr>
        <w:t>pharmakon</w:t>
      </w:r>
      <w:proofErr w:type="spellEnd"/>
      <w:r w:rsidRPr="00B611B7">
        <w:rPr>
          <w:b/>
          <w:sz w:val="32"/>
          <w:szCs w:val="32"/>
        </w:rPr>
        <w:t xml:space="preserve"> of film &amp; new media</w:t>
      </w:r>
    </w:p>
    <w:p w:rsidR="002B66EC" w:rsidRDefault="002B66EC"/>
    <w:p w:rsidR="002B66EC" w:rsidRDefault="00B611B7" w:rsidP="007E722D">
      <w:pPr>
        <w:jc w:val="center"/>
      </w:pPr>
      <w:r>
        <w:t>2-3 May 2012</w:t>
      </w:r>
    </w:p>
    <w:p w:rsidR="002B66EC" w:rsidRDefault="002B66EC" w:rsidP="007E722D">
      <w:pPr>
        <w:jc w:val="center"/>
      </w:pPr>
      <w:r>
        <w:t>American University of Paris</w:t>
      </w:r>
    </w:p>
    <w:p w:rsidR="002B66EC" w:rsidRDefault="002B66EC" w:rsidP="007E722D">
      <w:pPr>
        <w:jc w:val="center"/>
      </w:pPr>
      <w:r>
        <w:t xml:space="preserve">6 rue Colonel </w:t>
      </w:r>
      <w:proofErr w:type="spellStart"/>
      <w:r>
        <w:t>Combes</w:t>
      </w:r>
      <w:proofErr w:type="spellEnd"/>
    </w:p>
    <w:p w:rsidR="002B66EC" w:rsidRDefault="002B66EC" w:rsidP="007E722D">
      <w:pPr>
        <w:jc w:val="center"/>
      </w:pPr>
      <w:r>
        <w:t>75007 Paris</w:t>
      </w:r>
    </w:p>
    <w:p w:rsidR="00A17E3B" w:rsidRDefault="00A17E3B"/>
    <w:p w:rsidR="00DE33A5" w:rsidRDefault="00DE33A5"/>
    <w:p w:rsidR="00D30810" w:rsidRDefault="00D30810" w:rsidP="00D30810">
      <w:pPr>
        <w:jc w:val="both"/>
      </w:pPr>
      <w:r>
        <w:t xml:space="preserve">Film has been lauded as a creative medium for expression and experimentation, and condemned as a carrier of consumerist ideology. If anything, opinions about the new media are even more extreme. Thus film and the new media can be thought of as a </w:t>
      </w:r>
      <w:proofErr w:type="spellStart"/>
      <w:r>
        <w:t>pharmakon</w:t>
      </w:r>
      <w:proofErr w:type="spellEnd"/>
      <w:r>
        <w:t xml:space="preserve"> </w:t>
      </w:r>
      <w:r w:rsidR="007015AD">
        <w:t xml:space="preserve">--- a possibility and/or </w:t>
      </w:r>
      <w:proofErr w:type="gramStart"/>
      <w:r w:rsidR="007015AD">
        <w:t xml:space="preserve">a </w:t>
      </w:r>
      <w:r>
        <w:t>blight</w:t>
      </w:r>
      <w:proofErr w:type="gramEnd"/>
      <w:r>
        <w:t xml:space="preserve">, a valuable medium and/or a poison.  </w:t>
      </w:r>
    </w:p>
    <w:p w:rsidR="00D30810" w:rsidRDefault="00D30810" w:rsidP="00D30810">
      <w:pPr>
        <w:jc w:val="both"/>
      </w:pPr>
    </w:p>
    <w:p w:rsidR="00D30810" w:rsidRDefault="00D30810" w:rsidP="00D30810">
      <w:pPr>
        <w:jc w:val="both"/>
      </w:pPr>
      <w:r>
        <w:t xml:space="preserve">In fact, ever since Mickey Mouse appeared on the scene there has been fierce debate about the social/cultural/political significance of film and media. Walter Benjamin saw Mickey as an anti-establishment figure offering possibilities for rebellious anti-capitalist modeling. But film has more often been seen as ideological poison, indoctrinating the public in consumerist dreams and materialist passivity. And too often, current writing on the subject of management and film offer conventional organizational or </w:t>
      </w:r>
      <w:proofErr w:type="spellStart"/>
      <w:r>
        <w:t>managerialist</w:t>
      </w:r>
      <w:proofErr w:type="spellEnd"/>
      <w:r>
        <w:t xml:space="preserve"> approaches (e.g. Bell 2008), in confirmation of managerial clichés. </w:t>
      </w:r>
    </w:p>
    <w:p w:rsidR="00D30810" w:rsidRDefault="00D30810" w:rsidP="00D30810">
      <w:pPr>
        <w:jc w:val="both"/>
      </w:pPr>
    </w:p>
    <w:p w:rsidR="00D30810" w:rsidRDefault="00D30810" w:rsidP="00D30810">
      <w:pPr>
        <w:jc w:val="both"/>
      </w:pPr>
      <w:r>
        <w:t>From Chaplin’s ‘Modern Times’ to Kurosawa’s ‘</w:t>
      </w:r>
      <w:proofErr w:type="spellStart"/>
      <w:r>
        <w:t>Ikiru</w:t>
      </w:r>
      <w:proofErr w:type="spellEnd"/>
      <w:r>
        <w:t xml:space="preserve">’ there has been a critical tradition in film showing organizational </w:t>
      </w:r>
      <w:proofErr w:type="spellStart"/>
      <w:r>
        <w:t>dysfunctionality</w:t>
      </w:r>
      <w:proofErr w:type="spellEnd"/>
      <w:r>
        <w:t xml:space="preserve"> and absurdity. But such films focused on plot and character development; and it is the question if contemporary media still represent these, or do the new media reject such Aristotelian categories of drama? While most organization theory and narrative is pervaded by a representative logic wherein intentionality and causes command the narrative line and every resource is aligned to serve explanative plot, the new media it can be claimed reject all such principles of explanation. </w:t>
      </w:r>
    </w:p>
    <w:p w:rsidR="00D30810" w:rsidRDefault="00D30810" w:rsidP="00D30810">
      <w:pPr>
        <w:jc w:val="both"/>
      </w:pPr>
    </w:p>
    <w:p w:rsidR="00D30810" w:rsidRDefault="00D30810" w:rsidP="00D30810">
      <w:pPr>
        <w:jc w:val="both"/>
      </w:pPr>
      <w:r>
        <w:t>It has been asserted that film proposes a doubled and contradicted fable (</w:t>
      </w:r>
      <w:proofErr w:type="spellStart"/>
      <w:r>
        <w:t>Rancière</w:t>
      </w:r>
      <w:proofErr w:type="spellEnd"/>
      <w:r>
        <w:t>, 2001); and that cinema exists in the gaps, tensions and operations (or alterations of resemblance) between dramatic line, play of images/angles, music, voices, speeds and movements (</w:t>
      </w:r>
      <w:proofErr w:type="spellStart"/>
      <w:r>
        <w:t>Rancière</w:t>
      </w:r>
      <w:proofErr w:type="spellEnd"/>
      <w:r>
        <w:t xml:space="preserve">, 2011). Some </w:t>
      </w:r>
      <w:r w:rsidRPr="009630B7">
        <w:t>argue</w:t>
      </w:r>
      <w:r>
        <w:t xml:space="preserve"> that moviemakers and cinematographic theorists, have the power to embark on new adventures of thought, having invented images and signs, and brought novel concepts and fresh perspectives (</w:t>
      </w:r>
      <w:proofErr w:type="spellStart"/>
      <w:r>
        <w:t>Deleuze</w:t>
      </w:r>
      <w:proofErr w:type="spellEnd"/>
      <w:r>
        <w:t>, 1983, 1985).  But is this celebration of the art film justified or relevant? Has not Hollywood propaganda, which markets</w:t>
      </w:r>
      <w:r w:rsidRPr="00D379A1">
        <w:t xml:space="preserve"> </w:t>
      </w:r>
      <w:r>
        <w:t xml:space="preserve">soporifics for the consumer society, really always dominated?  </w:t>
      </w:r>
    </w:p>
    <w:p w:rsidR="00D30810" w:rsidRDefault="00D30810" w:rsidP="00D30810">
      <w:pPr>
        <w:jc w:val="both"/>
      </w:pPr>
    </w:p>
    <w:p w:rsidR="00D30810" w:rsidRDefault="00D30810" w:rsidP="00D30810">
      <w:pPr>
        <w:jc w:val="both"/>
      </w:pPr>
      <w:r>
        <w:lastRenderedPageBreak/>
        <w:t xml:space="preserve">Is film as a carrier of plot and character a technologically and culturally outdated and increasingly irrelevant media? And do not the new media champion a decentered self with a compulsive and addictive hold on attention, while selling violent and primitive storylines to socially dysfunctional monads?  </w:t>
      </w:r>
    </w:p>
    <w:p w:rsidR="00D30810" w:rsidRDefault="00D30810" w:rsidP="00D30810">
      <w:pPr>
        <w:jc w:val="both"/>
      </w:pPr>
    </w:p>
    <w:p w:rsidR="00D30810" w:rsidRDefault="00D30810" w:rsidP="00D30810">
      <w:pPr>
        <w:jc w:val="both"/>
      </w:pPr>
      <w:r>
        <w:t xml:space="preserve">We would like to take the opportunity of this conference to discuss and challenge organization theory and its pedagogy by examining the challenges presented by cinematographic images, concepts, and culture and/or by new forms of media (internet, on-demand, paid content, video games etc.). </w:t>
      </w:r>
    </w:p>
    <w:p w:rsidR="00D30810" w:rsidRDefault="00D30810" w:rsidP="00D30810">
      <w:pPr>
        <w:jc w:val="both"/>
      </w:pPr>
    </w:p>
    <w:p w:rsidR="00D30810" w:rsidRDefault="00D30810" w:rsidP="00D30810">
      <w:pPr>
        <w:jc w:val="both"/>
      </w:pPr>
    </w:p>
    <w:p w:rsidR="00D30810" w:rsidRDefault="00D30810" w:rsidP="00D30810">
      <w:pPr>
        <w:jc w:val="both"/>
      </w:pPr>
      <w:r>
        <w:t>In particular, we are interested in the following:</w:t>
      </w:r>
    </w:p>
    <w:p w:rsidR="00D30810" w:rsidRDefault="00D30810" w:rsidP="00D30810">
      <w:pPr>
        <w:jc w:val="both"/>
      </w:pPr>
    </w:p>
    <w:p w:rsidR="00D30810" w:rsidRDefault="00D30810" w:rsidP="00D30810">
      <w:pPr>
        <w:pStyle w:val="Paragraphedeliste"/>
        <w:numPr>
          <w:ilvl w:val="0"/>
          <w:numId w:val="1"/>
        </w:numPr>
        <w:jc w:val="both"/>
      </w:pPr>
      <w:r>
        <w:t>How does the cinematographic fable affect views and stories about management and organizations?</w:t>
      </w:r>
    </w:p>
    <w:p w:rsidR="00D30810" w:rsidRDefault="00D30810" w:rsidP="00D30810">
      <w:pPr>
        <w:pStyle w:val="Paragraphedeliste"/>
        <w:numPr>
          <w:ilvl w:val="0"/>
          <w:numId w:val="1"/>
        </w:numPr>
        <w:jc w:val="both"/>
      </w:pPr>
      <w:r>
        <w:t>Can new insights be imported from the movie sphere?</w:t>
      </w:r>
    </w:p>
    <w:p w:rsidR="00D30810" w:rsidRDefault="00D30810" w:rsidP="00D30810">
      <w:pPr>
        <w:pStyle w:val="Paragraphedeliste"/>
        <w:numPr>
          <w:ilvl w:val="0"/>
          <w:numId w:val="1"/>
        </w:numPr>
        <w:jc w:val="both"/>
      </w:pPr>
      <w:r>
        <w:t>Are traditional forms of film narrative and character development dead in the landscape of new media?</w:t>
      </w:r>
    </w:p>
    <w:p w:rsidR="00D30810" w:rsidRDefault="00D30810" w:rsidP="00D30810">
      <w:pPr>
        <w:pStyle w:val="Paragraphedeliste"/>
        <w:numPr>
          <w:ilvl w:val="0"/>
          <w:numId w:val="1"/>
        </w:numPr>
        <w:jc w:val="both"/>
      </w:pPr>
      <w:r>
        <w:t>Do new media outlets offer pedagogical opportunities/traps heretofore unconsidered in the field of management and organization?</w:t>
      </w:r>
    </w:p>
    <w:p w:rsidR="00D30810" w:rsidRDefault="00D30810" w:rsidP="00D30810">
      <w:pPr>
        <w:pStyle w:val="Paragraphedeliste"/>
        <w:numPr>
          <w:ilvl w:val="0"/>
          <w:numId w:val="1"/>
        </w:numPr>
        <w:jc w:val="both"/>
      </w:pPr>
      <w:r>
        <w:t>Can film and/or new media be used to challenge traditional management thought and its pedagogy?</w:t>
      </w:r>
    </w:p>
    <w:p w:rsidR="00D30810" w:rsidRDefault="00D30810" w:rsidP="00D30810">
      <w:pPr>
        <w:pStyle w:val="Paragraphedeliste"/>
        <w:numPr>
          <w:ilvl w:val="0"/>
          <w:numId w:val="1"/>
        </w:numPr>
        <w:jc w:val="both"/>
      </w:pPr>
      <w:r>
        <w:t>Critical approaches and perspectives to management, film, pedagogy in a new media context.</w:t>
      </w:r>
    </w:p>
    <w:p w:rsidR="00D30810" w:rsidRDefault="00D30810" w:rsidP="00D30810">
      <w:pPr>
        <w:pStyle w:val="Paragraphedeliste"/>
        <w:numPr>
          <w:ilvl w:val="0"/>
          <w:numId w:val="1"/>
        </w:numPr>
        <w:jc w:val="both"/>
      </w:pPr>
      <w:r>
        <w:t>Does film and new media in management pedagogy do more harm than good by strengthening consumerism?</w:t>
      </w:r>
    </w:p>
    <w:p w:rsidR="00A17E3B" w:rsidRDefault="00A17E3B" w:rsidP="00107DE2">
      <w:pPr>
        <w:jc w:val="both"/>
      </w:pPr>
    </w:p>
    <w:p w:rsidR="00D30810" w:rsidRDefault="00D30810" w:rsidP="00D30810">
      <w:pPr>
        <w:jc w:val="both"/>
      </w:pPr>
      <w:r>
        <w:t xml:space="preserve">Deadline for abstracts is 15 </w:t>
      </w:r>
      <w:r w:rsidR="00360A6B">
        <w:t>February</w:t>
      </w:r>
      <w:r>
        <w:t xml:space="preserve"> 2012.  The final selection of papers and presentations will be by 1 March, 2012. Abstracts may be submitted in French, English or Dutch. Presentations of papers are to be in English.  Approximately, 15-18 papers can be accepted for presentation.</w:t>
      </w:r>
    </w:p>
    <w:p w:rsidR="008A16CB" w:rsidRDefault="008A16CB" w:rsidP="00107DE2">
      <w:pPr>
        <w:jc w:val="both"/>
      </w:pPr>
    </w:p>
    <w:p w:rsidR="007E722D" w:rsidRDefault="008A16CB" w:rsidP="00107DE2">
      <w:pPr>
        <w:jc w:val="both"/>
      </w:pPr>
      <w:r>
        <w:t>The conference will take place</w:t>
      </w:r>
      <w:r w:rsidR="00A1759F">
        <w:t xml:space="preserve"> 2-3 May in Paris.</w:t>
      </w:r>
      <w:r>
        <w:t xml:space="preserve"> </w:t>
      </w:r>
      <w:r w:rsidR="00ED04DE">
        <w:t>Approximately</w:t>
      </w:r>
      <w:r w:rsidR="00FE3EA2">
        <w:t>,</w:t>
      </w:r>
      <w:r w:rsidR="00ED04DE">
        <w:t xml:space="preserve"> 15-18</w:t>
      </w:r>
      <w:r w:rsidR="007E722D">
        <w:t xml:space="preserve"> papers </w:t>
      </w:r>
      <w:r w:rsidR="00FE3EA2">
        <w:t xml:space="preserve">can </w:t>
      </w:r>
      <w:r w:rsidR="007E722D">
        <w:t>be accepted for presentation.</w:t>
      </w:r>
    </w:p>
    <w:p w:rsidR="007E722D" w:rsidRDefault="007E722D" w:rsidP="00107DE2">
      <w:pPr>
        <w:jc w:val="both"/>
      </w:pPr>
    </w:p>
    <w:p w:rsidR="007E722D" w:rsidRDefault="00DA004C" w:rsidP="00107DE2">
      <w:pPr>
        <w:jc w:val="both"/>
      </w:pPr>
      <w:r>
        <w:t xml:space="preserve">Selected papers </w:t>
      </w:r>
      <w:r w:rsidR="007E722D">
        <w:t xml:space="preserve">will be published in a special edition of </w:t>
      </w:r>
      <w:r w:rsidR="00D30810">
        <w:t xml:space="preserve">a journal or a </w:t>
      </w:r>
      <w:r>
        <w:t>book.</w:t>
      </w:r>
      <w:r w:rsidR="007E722D">
        <w:t xml:space="preserve"> </w:t>
      </w:r>
      <w:r w:rsidR="000E797F">
        <w:t xml:space="preserve">A book contract from an American publisher has been offered to us. </w:t>
      </w:r>
      <w:r w:rsidR="00D30810">
        <w:t xml:space="preserve">More specific information will be available on the publication </w:t>
      </w:r>
      <w:r w:rsidR="000E797F">
        <w:t xml:space="preserve">plans </w:t>
      </w:r>
      <w:r w:rsidR="00D30810">
        <w:t>in early 2012.</w:t>
      </w:r>
    </w:p>
    <w:p w:rsidR="002B66EC" w:rsidRDefault="000E797F">
      <w:r>
        <w:br w:type="column"/>
      </w:r>
    </w:p>
    <w:p w:rsidR="002B66EC" w:rsidRPr="007015AD" w:rsidRDefault="007E722D">
      <w:pPr>
        <w:rPr>
          <w:b/>
        </w:rPr>
      </w:pPr>
      <w:r w:rsidRPr="007015AD">
        <w:rPr>
          <w:b/>
        </w:rPr>
        <w:t>Organizing Committee</w:t>
      </w:r>
      <w:r w:rsidR="002B66EC" w:rsidRPr="007015AD">
        <w:rPr>
          <w:b/>
        </w:rPr>
        <w:t>:</w:t>
      </w:r>
    </w:p>
    <w:p w:rsidR="007015AD" w:rsidRDefault="007015AD" w:rsidP="007015AD">
      <w:r>
        <w:t>Robert Earhart, American University of Paris</w:t>
      </w:r>
    </w:p>
    <w:p w:rsidR="007015AD" w:rsidRPr="00B34935" w:rsidRDefault="007015AD" w:rsidP="007015AD">
      <w:pPr>
        <w:rPr>
          <w:lang w:val="fr-FR"/>
        </w:rPr>
      </w:pPr>
      <w:r>
        <w:rPr>
          <w:lang w:val="fr-FR"/>
        </w:rPr>
        <w:t xml:space="preserve">Rémi </w:t>
      </w:r>
      <w:proofErr w:type="spellStart"/>
      <w:r>
        <w:rPr>
          <w:lang w:val="fr-FR"/>
        </w:rPr>
        <w:t>Jardat</w:t>
      </w:r>
      <w:proofErr w:type="spellEnd"/>
      <w:r>
        <w:rPr>
          <w:lang w:val="fr-FR"/>
        </w:rPr>
        <w:t>, ISTEC</w:t>
      </w:r>
    </w:p>
    <w:p w:rsidR="007015AD" w:rsidRPr="007015AD" w:rsidRDefault="007015AD" w:rsidP="007015AD">
      <w:pPr>
        <w:rPr>
          <w:lang w:val="fr-FR"/>
        </w:rPr>
      </w:pPr>
      <w:r w:rsidRPr="007015AD">
        <w:rPr>
          <w:lang w:val="fr-FR"/>
        </w:rPr>
        <w:t xml:space="preserve">Hugo </w:t>
      </w:r>
      <w:proofErr w:type="spellStart"/>
      <w:r w:rsidRPr="007015AD">
        <w:rPr>
          <w:lang w:val="fr-FR"/>
        </w:rPr>
        <w:t>Letiche</w:t>
      </w:r>
      <w:proofErr w:type="spellEnd"/>
      <w:r w:rsidRPr="007015AD">
        <w:rPr>
          <w:lang w:val="fr-FR"/>
        </w:rPr>
        <w:t xml:space="preserve">, </w:t>
      </w:r>
      <w:proofErr w:type="spellStart"/>
      <w:r w:rsidRPr="007015AD">
        <w:rPr>
          <w:lang w:val="fr-FR"/>
        </w:rPr>
        <w:t>UvH</w:t>
      </w:r>
      <w:proofErr w:type="spellEnd"/>
      <w:r w:rsidRPr="007015AD">
        <w:rPr>
          <w:lang w:val="fr-FR"/>
        </w:rPr>
        <w:t xml:space="preserve"> Utrecht </w:t>
      </w:r>
    </w:p>
    <w:p w:rsidR="007015AD" w:rsidRDefault="007015AD" w:rsidP="007015AD">
      <w:r>
        <w:t>Geoff Lightfoot, University of Leicester</w:t>
      </w:r>
    </w:p>
    <w:p w:rsidR="007015AD" w:rsidRDefault="007015AD" w:rsidP="007015AD">
      <w:r>
        <w:t>Simon Lilley, University of Leicester</w:t>
      </w:r>
    </w:p>
    <w:p w:rsidR="007015AD" w:rsidRDefault="007015AD" w:rsidP="007015AD">
      <w:r w:rsidRPr="001D0106">
        <w:t xml:space="preserve">Jean-Luc </w:t>
      </w:r>
      <w:proofErr w:type="spellStart"/>
      <w:r w:rsidRPr="001D0106">
        <w:t>Moriceau</w:t>
      </w:r>
      <w:proofErr w:type="spellEnd"/>
      <w:r w:rsidRPr="001D0106">
        <w:t xml:space="preserve">, </w:t>
      </w:r>
      <w:proofErr w:type="spellStart"/>
      <w:r w:rsidRPr="001D0106">
        <w:t>Institut</w:t>
      </w:r>
      <w:proofErr w:type="spellEnd"/>
      <w:r>
        <w:t xml:space="preserve"> Telecom/</w:t>
      </w:r>
      <w:r w:rsidRPr="001D0106">
        <w:t>Telecom Business School</w:t>
      </w:r>
    </w:p>
    <w:p w:rsidR="00E50DA7" w:rsidRDefault="000E797F" w:rsidP="007015AD">
      <w:proofErr w:type="spellStart"/>
      <w:r>
        <w:t>Yvon</w:t>
      </w:r>
      <w:proofErr w:type="spellEnd"/>
      <w:r>
        <w:t xml:space="preserve"> </w:t>
      </w:r>
      <w:proofErr w:type="spellStart"/>
      <w:r>
        <w:t>Pesqueux</w:t>
      </w:r>
      <w:proofErr w:type="spellEnd"/>
      <w:r w:rsidR="00E50DA7">
        <w:t xml:space="preserve">, CNAM </w:t>
      </w:r>
    </w:p>
    <w:p w:rsidR="007015AD" w:rsidRPr="007015AD" w:rsidRDefault="007015AD" w:rsidP="007015AD">
      <w:r w:rsidRPr="007015AD">
        <w:t xml:space="preserve">Richard </w:t>
      </w:r>
      <w:proofErr w:type="spellStart"/>
      <w:r w:rsidRPr="007015AD">
        <w:t>Soparnot</w:t>
      </w:r>
      <w:proofErr w:type="spellEnd"/>
      <w:r w:rsidRPr="007015AD">
        <w:t>, ESCEM</w:t>
      </w:r>
    </w:p>
    <w:p w:rsidR="00A17E3B" w:rsidRDefault="00A17E3B"/>
    <w:p w:rsidR="0022369C" w:rsidRDefault="0022369C"/>
    <w:p w:rsidR="002B66EC" w:rsidRPr="007015AD" w:rsidRDefault="00FE3EA2">
      <w:pPr>
        <w:rPr>
          <w:b/>
        </w:rPr>
      </w:pPr>
      <w:r w:rsidRPr="007015AD">
        <w:rPr>
          <w:b/>
        </w:rPr>
        <w:t>CONTACT</w:t>
      </w:r>
      <w:r w:rsidR="00D30810" w:rsidRPr="007015AD">
        <w:rPr>
          <w:b/>
        </w:rPr>
        <w:t xml:space="preserve"> &amp; PAPER ABSTRACT SUBMISSION</w:t>
      </w:r>
      <w:r w:rsidRPr="007015AD">
        <w:rPr>
          <w:b/>
        </w:rPr>
        <w:t>:</w:t>
      </w:r>
    </w:p>
    <w:p w:rsidR="00694ACE" w:rsidRDefault="00694ACE"/>
    <w:p w:rsidR="00694ACE" w:rsidRDefault="00D30810">
      <w:r>
        <w:t xml:space="preserve">Prof. </w:t>
      </w:r>
      <w:r w:rsidR="00694ACE">
        <w:t>Robert Earhart</w:t>
      </w:r>
      <w:r>
        <w:t>, American University of Paris</w:t>
      </w:r>
    </w:p>
    <w:p w:rsidR="00D30810" w:rsidRPr="007015AD" w:rsidRDefault="00D30810">
      <w:pPr>
        <w:rPr>
          <w:lang w:val="fr-FR"/>
        </w:rPr>
      </w:pPr>
      <w:r w:rsidRPr="007015AD">
        <w:rPr>
          <w:lang w:val="fr-FR"/>
        </w:rPr>
        <w:t>6 rue Colonel Combes, 75007 Paris, France</w:t>
      </w:r>
    </w:p>
    <w:p w:rsidR="00694ACE" w:rsidRPr="007015AD" w:rsidRDefault="00946DFC">
      <w:pPr>
        <w:rPr>
          <w:lang w:val="fr-FR"/>
        </w:rPr>
      </w:pPr>
      <w:hyperlink r:id="rId7" w:history="1">
        <w:r w:rsidR="00694ACE" w:rsidRPr="007015AD">
          <w:rPr>
            <w:rStyle w:val="Lienhypertexte"/>
            <w:lang w:val="fr-FR"/>
          </w:rPr>
          <w:t>rearhart@aup.fr</w:t>
        </w:r>
      </w:hyperlink>
    </w:p>
    <w:p w:rsidR="00694ACE" w:rsidRDefault="00D30810">
      <w:r>
        <w:t>+33 6 25 20 44 20</w:t>
      </w:r>
    </w:p>
    <w:p w:rsidR="00D30810" w:rsidRDefault="00D30810"/>
    <w:p w:rsidR="007015AD" w:rsidRDefault="007015AD"/>
    <w:p w:rsidR="0022369C" w:rsidRDefault="0022369C"/>
    <w:p w:rsidR="007015AD" w:rsidRPr="007015AD" w:rsidRDefault="007015AD">
      <w:pPr>
        <w:rPr>
          <w:b/>
          <w:sz w:val="22"/>
        </w:rPr>
      </w:pPr>
      <w:r w:rsidRPr="007015AD">
        <w:rPr>
          <w:b/>
          <w:sz w:val="22"/>
        </w:rPr>
        <w:t>References</w:t>
      </w:r>
    </w:p>
    <w:p w:rsidR="007015AD" w:rsidRPr="0022369C" w:rsidRDefault="007015AD">
      <w:pPr>
        <w:rPr>
          <w:sz w:val="20"/>
          <w:szCs w:val="20"/>
          <w:lang w:val="fr-FR"/>
        </w:rPr>
      </w:pPr>
      <w:r w:rsidRPr="0022369C">
        <w:rPr>
          <w:sz w:val="20"/>
          <w:szCs w:val="20"/>
          <w:lang w:val="fr-FR"/>
        </w:rPr>
        <w:t xml:space="preserve">Bell, </w:t>
      </w:r>
      <w:r w:rsidR="004E5E89" w:rsidRPr="0022369C">
        <w:rPr>
          <w:sz w:val="20"/>
          <w:szCs w:val="20"/>
          <w:lang w:val="fr-FR"/>
        </w:rPr>
        <w:t>E (2008)</w:t>
      </w:r>
      <w:r w:rsidR="0022369C" w:rsidRPr="0022369C">
        <w:rPr>
          <w:sz w:val="20"/>
          <w:szCs w:val="20"/>
        </w:rPr>
        <w:t xml:space="preserve"> </w:t>
      </w:r>
      <w:r w:rsidR="0022369C" w:rsidRPr="0022369C">
        <w:rPr>
          <w:i/>
          <w:sz w:val="20"/>
          <w:szCs w:val="20"/>
        </w:rPr>
        <w:t>Reading Management &amp; Organization in Film</w:t>
      </w:r>
      <w:r w:rsidR="0022369C" w:rsidRPr="0022369C">
        <w:rPr>
          <w:sz w:val="20"/>
          <w:szCs w:val="20"/>
        </w:rPr>
        <w:t xml:space="preserve"> London: Palgrave.</w:t>
      </w:r>
    </w:p>
    <w:p w:rsidR="007015AD" w:rsidRPr="007015AD" w:rsidRDefault="007015AD">
      <w:pPr>
        <w:rPr>
          <w:sz w:val="20"/>
          <w:szCs w:val="20"/>
          <w:lang w:val="fr-FR"/>
        </w:rPr>
      </w:pPr>
      <w:r w:rsidRPr="007015AD">
        <w:rPr>
          <w:sz w:val="20"/>
          <w:szCs w:val="20"/>
          <w:lang w:val="fr-FR"/>
        </w:rPr>
        <w:t xml:space="preserve">Deleuze, </w:t>
      </w:r>
      <w:r w:rsidR="004E5E89">
        <w:rPr>
          <w:sz w:val="20"/>
          <w:szCs w:val="20"/>
          <w:lang w:val="fr-FR"/>
        </w:rPr>
        <w:t>G (1983)</w:t>
      </w:r>
      <w:r w:rsidRPr="007015AD">
        <w:rPr>
          <w:sz w:val="20"/>
          <w:szCs w:val="20"/>
          <w:lang w:val="fr-FR"/>
        </w:rPr>
        <w:t xml:space="preserve"> </w:t>
      </w:r>
      <w:r w:rsidRPr="007015AD">
        <w:rPr>
          <w:i/>
          <w:sz w:val="20"/>
          <w:szCs w:val="20"/>
          <w:lang w:val="fr-FR"/>
        </w:rPr>
        <w:t>L’image-Mouvement</w:t>
      </w:r>
      <w:r w:rsidRPr="007015AD">
        <w:rPr>
          <w:sz w:val="20"/>
          <w:szCs w:val="20"/>
          <w:lang w:val="fr-FR"/>
        </w:rPr>
        <w:t>, Paris: Les éditions de minuit.</w:t>
      </w:r>
    </w:p>
    <w:p w:rsidR="007015AD" w:rsidRPr="007015AD" w:rsidRDefault="004E5E89" w:rsidP="007015AD">
      <w:pPr>
        <w:rPr>
          <w:sz w:val="20"/>
          <w:szCs w:val="20"/>
          <w:lang w:val="fr-FR"/>
        </w:rPr>
      </w:pPr>
      <w:r>
        <w:rPr>
          <w:sz w:val="20"/>
          <w:szCs w:val="20"/>
          <w:lang w:val="fr-FR"/>
        </w:rPr>
        <w:t>----              (</w:t>
      </w:r>
      <w:r w:rsidR="007015AD" w:rsidRPr="007015AD">
        <w:rPr>
          <w:sz w:val="20"/>
          <w:szCs w:val="20"/>
          <w:lang w:val="fr-FR"/>
        </w:rPr>
        <w:t>1985</w:t>
      </w:r>
      <w:r>
        <w:rPr>
          <w:sz w:val="20"/>
          <w:szCs w:val="20"/>
          <w:lang w:val="fr-FR"/>
        </w:rPr>
        <w:t>)</w:t>
      </w:r>
      <w:r w:rsidR="007015AD" w:rsidRPr="007015AD">
        <w:rPr>
          <w:sz w:val="20"/>
          <w:szCs w:val="20"/>
          <w:lang w:val="fr-FR"/>
        </w:rPr>
        <w:t xml:space="preserve">, </w:t>
      </w:r>
      <w:r w:rsidR="007015AD" w:rsidRPr="007015AD">
        <w:rPr>
          <w:i/>
          <w:sz w:val="20"/>
          <w:szCs w:val="20"/>
          <w:lang w:val="fr-FR"/>
        </w:rPr>
        <w:t>L’image-Temps</w:t>
      </w:r>
      <w:r w:rsidR="007015AD" w:rsidRPr="007015AD">
        <w:rPr>
          <w:sz w:val="20"/>
          <w:szCs w:val="20"/>
          <w:lang w:val="fr-FR"/>
        </w:rPr>
        <w:t>, Paris: Les éditions de minuit.</w:t>
      </w:r>
    </w:p>
    <w:p w:rsidR="007015AD" w:rsidRPr="007015AD" w:rsidRDefault="007015AD">
      <w:pPr>
        <w:rPr>
          <w:sz w:val="20"/>
          <w:szCs w:val="20"/>
          <w:lang w:val="fr-FR"/>
        </w:rPr>
      </w:pPr>
      <w:proofErr w:type="spellStart"/>
      <w:r w:rsidRPr="007015AD">
        <w:rPr>
          <w:sz w:val="20"/>
          <w:szCs w:val="20"/>
          <w:lang w:val="fr-FR"/>
        </w:rPr>
        <w:t>Rancière</w:t>
      </w:r>
      <w:proofErr w:type="spellEnd"/>
      <w:r w:rsidRPr="007015AD">
        <w:rPr>
          <w:sz w:val="20"/>
          <w:szCs w:val="20"/>
          <w:lang w:val="fr-FR"/>
        </w:rPr>
        <w:t xml:space="preserve">, </w:t>
      </w:r>
      <w:r w:rsidR="004E5E89">
        <w:rPr>
          <w:sz w:val="20"/>
          <w:szCs w:val="20"/>
          <w:lang w:val="fr-FR"/>
        </w:rPr>
        <w:t>J (2001)</w:t>
      </w:r>
      <w:r w:rsidRPr="007015AD">
        <w:rPr>
          <w:sz w:val="20"/>
          <w:szCs w:val="20"/>
          <w:lang w:val="fr-FR"/>
        </w:rPr>
        <w:t xml:space="preserve"> </w:t>
      </w:r>
      <w:r w:rsidRPr="007015AD">
        <w:rPr>
          <w:i/>
          <w:sz w:val="20"/>
          <w:szCs w:val="20"/>
          <w:lang w:val="fr-FR"/>
        </w:rPr>
        <w:t>La Fable cinématographique</w:t>
      </w:r>
      <w:r w:rsidRPr="007015AD">
        <w:rPr>
          <w:sz w:val="20"/>
          <w:szCs w:val="20"/>
          <w:lang w:val="fr-FR"/>
        </w:rPr>
        <w:t>, Paris : Les éditions du Seuil</w:t>
      </w:r>
    </w:p>
    <w:p w:rsidR="007015AD" w:rsidRPr="007015AD" w:rsidRDefault="004E5E89">
      <w:pPr>
        <w:rPr>
          <w:sz w:val="20"/>
          <w:szCs w:val="20"/>
          <w:lang w:val="fr-FR"/>
        </w:rPr>
      </w:pPr>
      <w:r>
        <w:rPr>
          <w:sz w:val="20"/>
          <w:szCs w:val="20"/>
          <w:lang w:val="fr-FR"/>
        </w:rPr>
        <w:t xml:space="preserve">                    (2011)</w:t>
      </w:r>
      <w:r w:rsidR="007015AD" w:rsidRPr="007015AD">
        <w:rPr>
          <w:sz w:val="20"/>
          <w:szCs w:val="20"/>
          <w:lang w:val="fr-FR"/>
        </w:rPr>
        <w:t xml:space="preserve"> </w:t>
      </w:r>
      <w:r w:rsidR="007015AD" w:rsidRPr="007015AD">
        <w:rPr>
          <w:i/>
          <w:sz w:val="20"/>
          <w:szCs w:val="20"/>
          <w:lang w:val="fr-FR"/>
        </w:rPr>
        <w:t>Les écarts du cinéma</w:t>
      </w:r>
      <w:r w:rsidR="007015AD" w:rsidRPr="007015AD">
        <w:rPr>
          <w:sz w:val="20"/>
          <w:szCs w:val="20"/>
          <w:lang w:val="fr-FR"/>
        </w:rPr>
        <w:t>, Paris: La Fabrique éditions</w:t>
      </w:r>
    </w:p>
    <w:sectPr w:rsidR="007015AD" w:rsidRPr="007015AD" w:rsidSect="007015AD">
      <w:headerReference w:type="default" r:id="rId8"/>
      <w:pgSz w:w="11900" w:h="16840"/>
      <w:pgMar w:top="1134"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31DC" w:rsidRDefault="00C531DC" w:rsidP="007015AD">
      <w:r>
        <w:separator/>
      </w:r>
    </w:p>
  </w:endnote>
  <w:endnote w:type="continuationSeparator" w:id="0">
    <w:p w:rsidR="00C531DC" w:rsidRDefault="00C531DC" w:rsidP="007015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31DC" w:rsidRDefault="00C531DC" w:rsidP="007015AD">
      <w:r>
        <w:separator/>
      </w:r>
    </w:p>
  </w:footnote>
  <w:footnote w:type="continuationSeparator" w:id="0">
    <w:p w:rsidR="00C531DC" w:rsidRDefault="00C531DC" w:rsidP="007015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A6B" w:rsidRDefault="00360A6B" w:rsidP="007015AD">
    <w:pPr>
      <w:pStyle w:val="En-tte"/>
      <w:ind w:left="-709" w:right="-433"/>
    </w:pPr>
    <w:r w:rsidRPr="001D0106">
      <w:rPr>
        <w:noProof/>
        <w:lang w:val="fr-FR" w:eastAsia="fr-FR"/>
      </w:rPr>
      <w:drawing>
        <wp:inline distT="0" distB="0" distL="0" distR="0">
          <wp:extent cx="1413510" cy="318192"/>
          <wp:effectExtent l="19050" t="0" r="0" b="0"/>
          <wp:docPr id="2" name="Image 1" descr="The American University of Pa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American University of Paris"/>
                  <pic:cNvPicPr>
                    <a:picLocks noChangeAspect="1" noChangeArrowheads="1"/>
                  </pic:cNvPicPr>
                </pic:nvPicPr>
                <pic:blipFill>
                  <a:blip r:embed="rId1"/>
                  <a:srcRect/>
                  <a:stretch>
                    <a:fillRect/>
                  </a:stretch>
                </pic:blipFill>
                <pic:spPr bwMode="auto">
                  <a:xfrm>
                    <a:off x="0" y="0"/>
                    <a:ext cx="1413510" cy="318192"/>
                  </a:xfrm>
                  <a:prstGeom prst="rect">
                    <a:avLst/>
                  </a:prstGeom>
                  <a:noFill/>
                  <a:ln w="9525">
                    <a:noFill/>
                    <a:miter lim="800000"/>
                    <a:headEnd/>
                    <a:tailEnd/>
                  </a:ln>
                </pic:spPr>
              </pic:pic>
            </a:graphicData>
          </a:graphic>
        </wp:inline>
      </w:drawing>
    </w:r>
    <w:r>
      <w:rPr>
        <w:noProof/>
        <w:lang w:val="fr-FR" w:eastAsia="fr-FR"/>
      </w:rPr>
      <w:drawing>
        <wp:inline distT="0" distB="0" distL="0" distR="0">
          <wp:extent cx="605790" cy="716577"/>
          <wp:effectExtent l="19050" t="0" r="3810" b="0"/>
          <wp:docPr id="4" name="Image 4" descr="Universiteit voor Humanisti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iversiteit voor Humanistiek"/>
                  <pic:cNvPicPr>
                    <a:picLocks noChangeAspect="1" noChangeArrowheads="1"/>
                  </pic:cNvPicPr>
                </pic:nvPicPr>
                <pic:blipFill>
                  <a:blip r:embed="rId2"/>
                  <a:srcRect/>
                  <a:stretch>
                    <a:fillRect/>
                  </a:stretch>
                </pic:blipFill>
                <pic:spPr bwMode="auto">
                  <a:xfrm>
                    <a:off x="0" y="0"/>
                    <a:ext cx="606764" cy="717729"/>
                  </a:xfrm>
                  <a:prstGeom prst="rect">
                    <a:avLst/>
                  </a:prstGeom>
                  <a:noFill/>
                  <a:ln w="9525">
                    <a:noFill/>
                    <a:miter lim="800000"/>
                    <a:headEnd/>
                    <a:tailEnd/>
                  </a:ln>
                </pic:spPr>
              </pic:pic>
            </a:graphicData>
          </a:graphic>
        </wp:inline>
      </w:drawing>
    </w:r>
    <w:r>
      <w:rPr>
        <w:noProof/>
        <w:lang w:val="fr-FR" w:eastAsia="fr-FR"/>
      </w:rPr>
      <w:drawing>
        <wp:inline distT="0" distB="0" distL="0" distR="0">
          <wp:extent cx="610870" cy="610870"/>
          <wp:effectExtent l="19050" t="0" r="0" b="0"/>
          <wp:docPr id="7" name="Image 7" descr="logo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_M"/>
                  <pic:cNvPicPr>
                    <a:picLocks noChangeAspect="1" noChangeArrowheads="1"/>
                  </pic:cNvPicPr>
                </pic:nvPicPr>
                <pic:blipFill>
                  <a:blip r:embed="rId3"/>
                  <a:srcRect/>
                  <a:stretch>
                    <a:fillRect/>
                  </a:stretch>
                </pic:blipFill>
                <pic:spPr bwMode="auto">
                  <a:xfrm>
                    <a:off x="0" y="0"/>
                    <a:ext cx="613410" cy="613410"/>
                  </a:xfrm>
                  <a:prstGeom prst="rect">
                    <a:avLst/>
                  </a:prstGeom>
                  <a:noFill/>
                  <a:ln w="9525">
                    <a:noFill/>
                    <a:miter lim="800000"/>
                    <a:headEnd/>
                    <a:tailEnd/>
                  </a:ln>
                </pic:spPr>
              </pic:pic>
            </a:graphicData>
          </a:graphic>
        </wp:inline>
      </w:drawing>
    </w:r>
    <w:r>
      <w:rPr>
        <w:noProof/>
        <w:lang w:val="fr-FR" w:eastAsia="fr-FR"/>
      </w:rPr>
      <w:drawing>
        <wp:inline distT="0" distB="0" distL="0" distR="0">
          <wp:extent cx="1362710" cy="477520"/>
          <wp:effectExtent l="19050" t="0" r="8890" b="0"/>
          <wp:docPr id="10" name="Image 10" descr="[The University of Leic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University of Leicester]"/>
                  <pic:cNvPicPr>
                    <a:picLocks noChangeAspect="1" noChangeArrowheads="1"/>
                  </pic:cNvPicPr>
                </pic:nvPicPr>
                <pic:blipFill>
                  <a:blip r:embed="rId4"/>
                  <a:srcRect/>
                  <a:stretch>
                    <a:fillRect/>
                  </a:stretch>
                </pic:blipFill>
                <pic:spPr bwMode="auto">
                  <a:xfrm>
                    <a:off x="0" y="0"/>
                    <a:ext cx="1362710" cy="477520"/>
                  </a:xfrm>
                  <a:prstGeom prst="rect">
                    <a:avLst/>
                  </a:prstGeom>
                  <a:noFill/>
                  <a:ln w="9525">
                    <a:noFill/>
                    <a:miter lim="800000"/>
                    <a:headEnd/>
                    <a:tailEnd/>
                  </a:ln>
                </pic:spPr>
              </pic:pic>
            </a:graphicData>
          </a:graphic>
        </wp:inline>
      </w:drawing>
    </w:r>
    <w:r>
      <w:rPr>
        <w:noProof/>
        <w:lang w:val="fr-FR" w:eastAsia="fr-FR"/>
      </w:rPr>
      <w:drawing>
        <wp:inline distT="0" distB="0" distL="0" distR="0">
          <wp:extent cx="10160" cy="10160"/>
          <wp:effectExtent l="0" t="0" r="0" b="0"/>
          <wp:docPr id="13" name="Image 13" descr="ESC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SCEM"/>
                  <pic:cNvPicPr>
                    <a:picLocks noChangeAspect="1" noChangeArrowheads="1"/>
                  </pic:cNvPicPr>
                </pic:nvPicPr>
                <pic:blipFill>
                  <a:blip r:embed="rId5"/>
                  <a:srcRect/>
                  <a:stretch>
                    <a:fillRect/>
                  </a:stretch>
                </pic:blipFill>
                <pic:spPr bwMode="auto">
                  <a:xfrm>
                    <a:off x="0" y="0"/>
                    <a:ext cx="10160" cy="10160"/>
                  </a:xfrm>
                  <a:prstGeom prst="rect">
                    <a:avLst/>
                  </a:prstGeom>
                  <a:noFill/>
                  <a:ln w="9525">
                    <a:noFill/>
                    <a:miter lim="800000"/>
                    <a:headEnd/>
                    <a:tailEnd/>
                  </a:ln>
                </pic:spPr>
              </pic:pic>
            </a:graphicData>
          </a:graphic>
        </wp:inline>
      </w:drawing>
    </w:r>
    <w:r>
      <w:rPr>
        <w:noProof/>
        <w:lang w:val="fr-FR" w:eastAsia="fr-FR"/>
      </w:rPr>
      <w:drawing>
        <wp:inline distT="0" distB="0" distL="0" distR="0">
          <wp:extent cx="10160" cy="10160"/>
          <wp:effectExtent l="0" t="0" r="0" b="0"/>
          <wp:docPr id="16" name="Image 16" descr="ESC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SCEM"/>
                  <pic:cNvPicPr>
                    <a:picLocks noChangeAspect="1" noChangeArrowheads="1"/>
                  </pic:cNvPicPr>
                </pic:nvPicPr>
                <pic:blipFill>
                  <a:blip r:embed="rId5"/>
                  <a:srcRect/>
                  <a:stretch>
                    <a:fillRect/>
                  </a:stretch>
                </pic:blipFill>
                <pic:spPr bwMode="auto">
                  <a:xfrm>
                    <a:off x="0" y="0"/>
                    <a:ext cx="10160" cy="10160"/>
                  </a:xfrm>
                  <a:prstGeom prst="rect">
                    <a:avLst/>
                  </a:prstGeom>
                  <a:noFill/>
                  <a:ln w="9525">
                    <a:noFill/>
                    <a:miter lim="800000"/>
                    <a:headEnd/>
                    <a:tailEnd/>
                  </a:ln>
                </pic:spPr>
              </pic:pic>
            </a:graphicData>
          </a:graphic>
        </wp:inline>
      </w:drawing>
    </w:r>
    <w:r>
      <w:rPr>
        <w:noProof/>
        <w:lang w:val="fr-FR" w:eastAsia="fr-FR"/>
      </w:rPr>
      <w:drawing>
        <wp:inline distT="0" distB="0" distL="0" distR="0">
          <wp:extent cx="10160" cy="10160"/>
          <wp:effectExtent l="0" t="0" r="0" b="0"/>
          <wp:docPr id="19" name="Image 19" descr="ESC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SCEM"/>
                  <pic:cNvPicPr>
                    <a:picLocks noChangeAspect="1" noChangeArrowheads="1"/>
                  </pic:cNvPicPr>
                </pic:nvPicPr>
                <pic:blipFill>
                  <a:blip r:embed="rId5"/>
                  <a:srcRect/>
                  <a:stretch>
                    <a:fillRect/>
                  </a:stretch>
                </pic:blipFill>
                <pic:spPr bwMode="auto">
                  <a:xfrm>
                    <a:off x="0" y="0"/>
                    <a:ext cx="10160" cy="10160"/>
                  </a:xfrm>
                  <a:prstGeom prst="rect">
                    <a:avLst/>
                  </a:prstGeom>
                  <a:noFill/>
                  <a:ln w="9525">
                    <a:noFill/>
                    <a:miter lim="800000"/>
                    <a:headEnd/>
                    <a:tailEnd/>
                  </a:ln>
                </pic:spPr>
              </pic:pic>
            </a:graphicData>
          </a:graphic>
        </wp:inline>
      </w:drawing>
    </w:r>
    <w:r>
      <w:rPr>
        <w:noProof/>
        <w:lang w:val="fr-FR" w:eastAsia="fr-FR"/>
      </w:rPr>
      <w:drawing>
        <wp:inline distT="0" distB="0" distL="0" distR="0">
          <wp:extent cx="10160" cy="10160"/>
          <wp:effectExtent l="0" t="0" r="0" b="0"/>
          <wp:docPr id="22" name="Image 22" descr="ESC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ESCEM"/>
                  <pic:cNvPicPr>
                    <a:picLocks noChangeAspect="1" noChangeArrowheads="1"/>
                  </pic:cNvPicPr>
                </pic:nvPicPr>
                <pic:blipFill>
                  <a:blip r:embed="rId5"/>
                  <a:srcRect/>
                  <a:stretch>
                    <a:fillRect/>
                  </a:stretch>
                </pic:blipFill>
                <pic:spPr bwMode="auto">
                  <a:xfrm>
                    <a:off x="0" y="0"/>
                    <a:ext cx="10160" cy="10160"/>
                  </a:xfrm>
                  <a:prstGeom prst="rect">
                    <a:avLst/>
                  </a:prstGeom>
                  <a:noFill/>
                  <a:ln w="9525">
                    <a:noFill/>
                    <a:miter lim="800000"/>
                    <a:headEnd/>
                    <a:tailEnd/>
                  </a:ln>
                </pic:spPr>
              </pic:pic>
            </a:graphicData>
          </a:graphic>
        </wp:inline>
      </w:drawing>
    </w:r>
    <w:r>
      <w:rPr>
        <w:noProof/>
        <w:lang w:val="fr-FR" w:eastAsia="fr-FR"/>
      </w:rPr>
      <w:drawing>
        <wp:inline distT="0" distB="0" distL="0" distR="0">
          <wp:extent cx="885190" cy="383172"/>
          <wp:effectExtent l="19050" t="0" r="0" b="0"/>
          <wp:docPr id="25" name="Image 25" descr="http://alienortse.escem.fr/inscription/App_Themes/Default/Images/ESCEM_logo_2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alienortse.escem.fr/inscription/App_Themes/Default/Images/ESCEM_logo_2011.png"/>
                  <pic:cNvPicPr>
                    <a:picLocks noChangeAspect="1" noChangeArrowheads="1"/>
                  </pic:cNvPicPr>
                </pic:nvPicPr>
                <pic:blipFill>
                  <a:blip r:embed="rId6"/>
                  <a:srcRect/>
                  <a:stretch>
                    <a:fillRect/>
                  </a:stretch>
                </pic:blipFill>
                <pic:spPr bwMode="auto">
                  <a:xfrm>
                    <a:off x="0" y="0"/>
                    <a:ext cx="893511" cy="386774"/>
                  </a:xfrm>
                  <a:prstGeom prst="rect">
                    <a:avLst/>
                  </a:prstGeom>
                  <a:noFill/>
                  <a:ln w="9525">
                    <a:noFill/>
                    <a:miter lim="800000"/>
                    <a:headEnd/>
                    <a:tailEnd/>
                  </a:ln>
                </pic:spPr>
              </pic:pic>
            </a:graphicData>
          </a:graphic>
        </wp:inline>
      </w:drawing>
    </w:r>
    <w:r>
      <w:rPr>
        <w:noProof/>
        <w:lang w:val="fr-FR" w:eastAsia="fr-FR"/>
      </w:rPr>
      <w:drawing>
        <wp:inline distT="0" distB="0" distL="0" distR="0">
          <wp:extent cx="895350" cy="385274"/>
          <wp:effectExtent l="19050" t="0" r="0" b="0"/>
          <wp:docPr id="1" name="Image 1" descr="C:\Users\Cécile et Jean-Luc\Downloads\nouveau logo ist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écile et Jean-Luc\Downloads\nouveau logo istec.JPG"/>
                  <pic:cNvPicPr>
                    <a:picLocks noChangeAspect="1" noChangeArrowheads="1"/>
                  </pic:cNvPicPr>
                </pic:nvPicPr>
                <pic:blipFill>
                  <a:blip r:embed="rId7"/>
                  <a:srcRect/>
                  <a:stretch>
                    <a:fillRect/>
                  </a:stretch>
                </pic:blipFill>
                <pic:spPr bwMode="auto">
                  <a:xfrm>
                    <a:off x="0" y="0"/>
                    <a:ext cx="897139" cy="386044"/>
                  </a:xfrm>
                  <a:prstGeom prst="rect">
                    <a:avLst/>
                  </a:prstGeom>
                  <a:noFill/>
                  <a:ln w="9525">
                    <a:noFill/>
                    <a:miter lim="800000"/>
                    <a:headEnd/>
                    <a:tailEnd/>
                  </a:ln>
                </pic:spPr>
              </pic:pic>
            </a:graphicData>
          </a:graphic>
        </wp:inline>
      </w:drawing>
    </w:r>
  </w:p>
  <w:p w:rsidR="00360A6B" w:rsidRDefault="00360A6B">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EC60CF"/>
    <w:multiLevelType w:val="hybridMultilevel"/>
    <w:tmpl w:val="481E0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hyphenationZone w:val="425"/>
  <w:characterSpacingControl w:val="doNotCompress"/>
  <w:hdrShapeDefaults>
    <o:shapedefaults v:ext="edit" spidmax="5122"/>
  </w:hdrShapeDefaults>
  <w:footnotePr>
    <w:footnote w:id="-1"/>
    <w:footnote w:id="0"/>
  </w:footnotePr>
  <w:endnotePr>
    <w:endnote w:id="-1"/>
    <w:endnote w:id="0"/>
  </w:endnotePr>
  <w:compat>
    <w:useFELayout/>
  </w:compat>
  <w:rsids>
    <w:rsidRoot w:val="002B66EC"/>
    <w:rsid w:val="000A2256"/>
    <w:rsid w:val="000E797F"/>
    <w:rsid w:val="00107DE2"/>
    <w:rsid w:val="0022369C"/>
    <w:rsid w:val="002A73BB"/>
    <w:rsid w:val="002B66EC"/>
    <w:rsid w:val="002F4E7B"/>
    <w:rsid w:val="0034380F"/>
    <w:rsid w:val="00360A6B"/>
    <w:rsid w:val="003E45E4"/>
    <w:rsid w:val="00436272"/>
    <w:rsid w:val="00447044"/>
    <w:rsid w:val="0046548F"/>
    <w:rsid w:val="004C467F"/>
    <w:rsid w:val="004E5E89"/>
    <w:rsid w:val="00540AF4"/>
    <w:rsid w:val="005F6A00"/>
    <w:rsid w:val="00694ACE"/>
    <w:rsid w:val="006A024C"/>
    <w:rsid w:val="007015AD"/>
    <w:rsid w:val="007179B7"/>
    <w:rsid w:val="00792942"/>
    <w:rsid w:val="007E722D"/>
    <w:rsid w:val="008A16CB"/>
    <w:rsid w:val="008B2D33"/>
    <w:rsid w:val="008D3DEE"/>
    <w:rsid w:val="008F24EE"/>
    <w:rsid w:val="00946DFC"/>
    <w:rsid w:val="009D46D2"/>
    <w:rsid w:val="009F0CD8"/>
    <w:rsid w:val="00A1759F"/>
    <w:rsid w:val="00A17E3B"/>
    <w:rsid w:val="00AA3036"/>
    <w:rsid w:val="00AE0B23"/>
    <w:rsid w:val="00B022EA"/>
    <w:rsid w:val="00B611B7"/>
    <w:rsid w:val="00BE27C8"/>
    <w:rsid w:val="00C17943"/>
    <w:rsid w:val="00C27C3E"/>
    <w:rsid w:val="00C531DC"/>
    <w:rsid w:val="00D30810"/>
    <w:rsid w:val="00D379A1"/>
    <w:rsid w:val="00D52EA1"/>
    <w:rsid w:val="00D715D6"/>
    <w:rsid w:val="00DA004C"/>
    <w:rsid w:val="00DE0B31"/>
    <w:rsid w:val="00DE33A5"/>
    <w:rsid w:val="00E057C3"/>
    <w:rsid w:val="00E50DA7"/>
    <w:rsid w:val="00ED04DE"/>
    <w:rsid w:val="00EE6BFC"/>
    <w:rsid w:val="00F23896"/>
    <w:rsid w:val="00FD5E97"/>
    <w:rsid w:val="00FE3EA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0B31"/>
    <w:rPr>
      <w:rFonts w:ascii="Helvetica" w:hAnsi="Helvetica"/>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B66EC"/>
    <w:pPr>
      <w:ind w:left="720"/>
      <w:contextualSpacing/>
    </w:pPr>
  </w:style>
  <w:style w:type="character" w:styleId="Lienhypertexte">
    <w:name w:val="Hyperlink"/>
    <w:basedOn w:val="Policepardfaut"/>
    <w:uiPriority w:val="99"/>
    <w:unhideWhenUsed/>
    <w:rsid w:val="00694ACE"/>
    <w:rPr>
      <w:color w:val="0000FF" w:themeColor="hyperlink"/>
      <w:u w:val="single"/>
    </w:rPr>
  </w:style>
  <w:style w:type="paragraph" w:styleId="En-tte">
    <w:name w:val="header"/>
    <w:basedOn w:val="Normal"/>
    <w:link w:val="En-tteCar"/>
    <w:uiPriority w:val="99"/>
    <w:unhideWhenUsed/>
    <w:rsid w:val="007015AD"/>
    <w:pPr>
      <w:tabs>
        <w:tab w:val="center" w:pos="4536"/>
        <w:tab w:val="right" w:pos="9072"/>
      </w:tabs>
    </w:pPr>
  </w:style>
  <w:style w:type="character" w:customStyle="1" w:styleId="En-tteCar">
    <w:name w:val="En-tête Car"/>
    <w:basedOn w:val="Policepardfaut"/>
    <w:link w:val="En-tte"/>
    <w:uiPriority w:val="99"/>
    <w:rsid w:val="007015AD"/>
    <w:rPr>
      <w:rFonts w:ascii="Helvetica" w:hAnsi="Helvetica"/>
    </w:rPr>
  </w:style>
  <w:style w:type="paragraph" w:styleId="Pieddepage">
    <w:name w:val="footer"/>
    <w:basedOn w:val="Normal"/>
    <w:link w:val="PieddepageCar"/>
    <w:uiPriority w:val="99"/>
    <w:semiHidden/>
    <w:unhideWhenUsed/>
    <w:rsid w:val="007015AD"/>
    <w:pPr>
      <w:tabs>
        <w:tab w:val="center" w:pos="4536"/>
        <w:tab w:val="right" w:pos="9072"/>
      </w:tabs>
    </w:pPr>
  </w:style>
  <w:style w:type="character" w:customStyle="1" w:styleId="PieddepageCar">
    <w:name w:val="Pied de page Car"/>
    <w:basedOn w:val="Policepardfaut"/>
    <w:link w:val="Pieddepage"/>
    <w:uiPriority w:val="99"/>
    <w:semiHidden/>
    <w:rsid w:val="007015AD"/>
    <w:rPr>
      <w:rFonts w:ascii="Helvetica" w:hAnsi="Helvetica"/>
    </w:rPr>
  </w:style>
  <w:style w:type="paragraph" w:styleId="Textedebulles">
    <w:name w:val="Balloon Text"/>
    <w:basedOn w:val="Normal"/>
    <w:link w:val="TextedebullesCar"/>
    <w:uiPriority w:val="99"/>
    <w:semiHidden/>
    <w:unhideWhenUsed/>
    <w:rsid w:val="007015AD"/>
    <w:rPr>
      <w:rFonts w:ascii="Tahoma" w:hAnsi="Tahoma" w:cs="Tahoma"/>
      <w:sz w:val="16"/>
      <w:szCs w:val="16"/>
    </w:rPr>
  </w:style>
  <w:style w:type="character" w:customStyle="1" w:styleId="TextedebullesCar">
    <w:name w:val="Texte de bulles Car"/>
    <w:basedOn w:val="Policepardfaut"/>
    <w:link w:val="Textedebulles"/>
    <w:uiPriority w:val="99"/>
    <w:semiHidden/>
    <w:rsid w:val="007015AD"/>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0B31"/>
    <w:rPr>
      <w:rFonts w:ascii="Helvetica" w:hAnsi="Helveti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66EC"/>
    <w:pPr>
      <w:ind w:left="720"/>
      <w:contextualSpacing/>
    </w:pPr>
  </w:style>
  <w:style w:type="character" w:styleId="Hyperlink">
    <w:name w:val="Hyperlink"/>
    <w:basedOn w:val="DefaultParagraphFont"/>
    <w:uiPriority w:val="99"/>
    <w:unhideWhenUsed/>
    <w:rsid w:val="00694ACE"/>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arhart@aup.f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gif"/><Relationship Id="rId6" Type="http://schemas.openxmlformats.org/officeDocument/2006/relationships/image" Target="media/image6.png"/><Relationship Id="rId5" Type="http://schemas.openxmlformats.org/officeDocument/2006/relationships/image" Target="media/image5.gi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800</Words>
  <Characters>4405</Characters>
  <Application>Microsoft Office Word</Application>
  <DocSecurity>0</DocSecurity>
  <Lines>36</Lines>
  <Paragraphs>10</Paragraphs>
  <ScaleCrop>false</ScaleCrop>
  <HeadingPairs>
    <vt:vector size="2" baseType="variant">
      <vt:variant>
        <vt:lpstr>Titre</vt:lpstr>
      </vt:variant>
      <vt:variant>
        <vt:i4>1</vt:i4>
      </vt:variant>
    </vt:vector>
  </HeadingPairs>
  <TitlesOfParts>
    <vt:vector size="1" baseType="lpstr">
      <vt:lpstr/>
    </vt:vector>
  </TitlesOfParts>
  <Company>ESG Intelligence Consulting</Company>
  <LinksUpToDate>false</LinksUpToDate>
  <CharactersWithSpaces>5195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Earhart</dc:creator>
  <cp:lastModifiedBy>Jean-Luc</cp:lastModifiedBy>
  <cp:revision>2</cp:revision>
  <dcterms:created xsi:type="dcterms:W3CDTF">2011-12-26T17:15:00Z</dcterms:created>
  <dcterms:modified xsi:type="dcterms:W3CDTF">2011-12-26T17:15:00Z</dcterms:modified>
</cp:coreProperties>
</file>